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/>
        <w:ind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LICITACIÓN PÚBLICA N.º 01/2025 – S.G.C.M. y S.C.</w:t>
      </w:r>
      <w:r>
        <w:rPr>
          <w:rFonts w:ascii="Arial" w:hAnsi="Arial" w:cs="Arial"/>
          <w:color w:val="000000" w:themeColor="text1"/>
        </w:rPr>
      </w:r>
    </w:p>
    <w:p>
      <w:pPr>
        <w:pStyle w:val="727"/>
        <w:pBdr/>
        <w:spacing/>
        <w:ind/>
        <w:jc w:val="center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“</w:t>
      </w:r>
      <w:r>
        <w:rPr>
          <w:rFonts w:ascii="Arial" w:hAnsi="Arial" w:eastAsia="Arial" w:cs="Arial"/>
          <w:i/>
          <w:iCs/>
          <w:color w:val="000000" w:themeColor="text1"/>
        </w:rPr>
        <w:t xml:space="preserve">Implementación de una solución tecnológica que articule la movilidad urbana de la ciudad de Santa Fe</w:t>
      </w:r>
      <w:r>
        <w:rPr>
          <w:rFonts w:ascii="Arial" w:hAnsi="Arial" w:eastAsia="Arial" w:cs="Arial"/>
          <w:color w:val="000000" w:themeColor="text1"/>
        </w:rPr>
        <w:t xml:space="preserve">”</w:t>
      </w:r>
      <w:r>
        <w:rPr>
          <w:rFonts w:ascii="Arial" w:hAnsi="Arial" w:eastAsia="Arial" w:cs="Arial"/>
          <w:color w:val="000000" w:themeColor="text1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 xml:space="preserve">ACLARACIONES CON CONSULTA N.º 01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</w:rPr>
        <w:t xml:space="preserve">De conformidad con lo dispuesto en el Artículo 5° del Pliego de Bases y Condiciones, se emiten las siguientes respuestas a las consultas formuladas por interesados:</w:t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  <w:b/>
          <w:bCs/>
        </w:rPr>
      </w:r>
    </w:p>
    <w:p>
      <w:pPr>
        <w:pBdr/>
        <w:spacing/>
        <w:ind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 xml:space="preserve">Consultas Nº 1:</w:t>
      </w:r>
      <w:r>
        <w:rPr>
          <w:rFonts w:ascii="Arial" w:hAnsi="Arial" w:eastAsia="Arial" w:cs="Arial"/>
          <w:b/>
          <w:bCs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1.1. ¿Está definido el valor porcentual del litro de nafta súper para establecer la tarifa? ¿Se mantendrá un esquema tarifario progresivo como el actual?</w:t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/>
        <w:jc w:val="both"/>
        <w:rPr>
          <w:rFonts w:ascii="Arial" w:hAnsi="Arial" w:eastAsia="Arial" w:cs="Arial"/>
          <w:b/>
          <w:bCs/>
          <w:color w:val="000000" w:themeColor="text1"/>
        </w:rPr>
      </w:pPr>
      <w:r>
        <w:rPr>
          <w:rFonts w:ascii="Arial" w:hAnsi="Arial" w:eastAsia="Arial" w:cs="Arial"/>
          <w:b/>
          <w:bCs/>
          <w:color w:val="000000" w:themeColor="text1"/>
        </w:rPr>
        <w:t xml:space="preserve">Segú</w:t>
      </w:r>
      <w:r>
        <w:rPr>
          <w:rFonts w:ascii="Arial" w:hAnsi="Arial" w:eastAsia="Arial" w:cs="Arial"/>
          <w:b/>
          <w:bCs/>
          <w:color w:val="000000" w:themeColor="text1"/>
        </w:rPr>
        <w:t xml:space="preserve">n lo establece el artículo 4º de la Ordenanza Nº 13.045, el valor por hora del derecho de ocupación de la vía pública no será inferior al 40% ni superior al 100% del precio de un litro de nafta súper en el Automóvil Club Argentino de la Ciudad de Santa Fe.</w:t>
      </w:r>
      <w:r>
        <w:rPr>
          <w:rFonts w:ascii="Arial" w:hAnsi="Arial" w:eastAsia="Arial" w:cs="Arial"/>
          <w:b/>
          <w:bCs/>
          <w:color w:val="000000" w:themeColor="text1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eastAsia="Arial" w:cs="Arial"/>
          <w:b/>
          <w:bCs/>
          <w:color w:val="000000" w:themeColor="text1"/>
        </w:rPr>
        <w:t xml:space="preserve">El Departamento Ejecutivo podrá aplicar cr</w:t>
      </w:r>
      <w:r>
        <w:rPr>
          <w:rFonts w:ascii="Arial" w:hAnsi="Arial" w:eastAsia="Arial" w:cs="Arial"/>
          <w:b/>
          <w:bCs/>
          <w:color w:val="000000" w:themeColor="text1"/>
        </w:rPr>
        <w:t xml:space="preserve">iterios diferenciados por franja horaria, sector de estacionamiento y/o mediante un mecanismo incremental con el objeto de fomentar la rotación vehicular, y determinará los cuadros tarifarios aplicables al sistema en los meses de enero y julio de cada año.</w:t>
      </w:r>
      <w:r>
        <w:rPr>
          <w:rFonts w:ascii="Arial" w:hAnsi="Arial" w:cs="Arial"/>
          <w:b/>
          <w:bCs/>
          <w:color w:val="000000" w:themeColor="text1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1.2. ¿Cómo se calcula el valor de 1 hora y media en un esquema progresivo? ¿Se divide la estadía en minutos y se cobra al valor de la hora más cara?</w:t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b/>
          <w:bCs/>
          <w:color w:val="000000" w:themeColor="text1"/>
        </w:rPr>
        <w:t xml:space="preserve">El valor será fraccionable en minutos y guardará proporción con el tiempo real de utilización del espacio. La hora incompleta se cobrará al valor proporcional según la siguiente fórmula: Valor hora × minutos consumidos / 60</w:t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/>
        <w:jc w:val="both"/>
        <w:rPr>
          <w:rFonts w:ascii="Arial" w:hAnsi="Arial" w:eastAsia="Arial" w:cs="Arial"/>
          <w:color w:val="000000" w:themeColor="text1"/>
          <w:highlight w:val="white"/>
        </w:rPr>
      </w:pPr>
      <w:r>
        <w:rPr>
          <w:rFonts w:ascii="Arial" w:hAnsi="Arial" w:eastAsia="Arial" w:cs="Arial"/>
          <w:color w:val="000000" w:themeColor="text1"/>
        </w:rPr>
        <w:t xml:space="preserve">1.3. ¿El sistema d</w:t>
      </w:r>
      <w:r>
        <w:rPr>
          <w:rFonts w:ascii="Arial" w:hAnsi="Arial" w:eastAsia="Arial" w:cs="Arial"/>
          <w:color w:val="000000" w:themeColor="text1"/>
          <w:highlight w:val="white"/>
        </w:rPr>
        <w:t xml:space="preserve">e gestión de deuda es de la Municipalidad? ¿Sólo debe generarse una interfaz para trasladar las actas por falta de pago?</w:t>
      </w:r>
      <w:r>
        <w:rPr>
          <w:rFonts w:ascii="Arial" w:hAnsi="Arial" w:eastAsia="Arial" w:cs="Arial"/>
          <w:color w:val="000000" w:themeColor="text1"/>
          <w:highlight w:val="white"/>
        </w:rPr>
      </w:r>
    </w:p>
    <w:p>
      <w:pPr>
        <w:pBdr/>
        <w:spacing/>
        <w:ind/>
        <w:jc w:val="both"/>
        <w:rPr>
          <w:rFonts w:ascii="Arial" w:hAnsi="Arial" w:eastAsia="Arial" w:cs="Arial"/>
          <w:color w:val="000000" w:themeColor="text1"/>
          <w:highlight w:val="white"/>
        </w:rPr>
      </w:pP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Sí. El sistema de gestión de deuda es propio de la Municipalid</w:t>
      </w: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ad. La aplicación deberá incluir una interfaz para el envío automático, con georreferenciación, de las actas de infracción al sistema municipal de fiscalización, aun cuando se labren sin conexión a internet, remitiéndose luego al restablecerse el servicio.</w:t>
      </w: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La aplicación enviará a los sistemas municipales todas las infracciones labradas con la aplicación móvil de fiscalización. No se requiere la gestión del pago de dichas infracciones.</w:t>
      </w:r>
      <w:r>
        <w:rPr>
          <w:rFonts w:ascii="Arial" w:hAnsi="Arial" w:eastAsia="Arial" w:cs="Arial"/>
          <w:color w:val="000000" w:themeColor="text1"/>
          <w:highlight w:val="white"/>
        </w:rPr>
      </w:r>
    </w:p>
    <w:p>
      <w:pPr>
        <w:pBdr/>
        <w:spacing/>
        <w:ind/>
        <w:jc w:val="both"/>
        <w:rPr>
          <w:rFonts w:ascii="Arial" w:hAnsi="Arial" w:eastAsia="Arial" w:cs="Arial"/>
          <w:color w:val="000000" w:themeColor="text1"/>
          <w:highlight w:val="white"/>
        </w:rPr>
      </w:pPr>
      <w:r>
        <w:rPr>
          <w:rFonts w:ascii="Arial" w:hAnsi="Arial" w:eastAsia="Arial" w:cs="Arial"/>
          <w:color w:val="000000" w:themeColor="text1"/>
          <w:highlight w:val="white"/>
        </w:rPr>
        <w:t xml:space="preserve">1.4. ¿Los servidores vinculados al estacionamiento pueden ser virtuales (en la nube)?</w:t>
      </w:r>
      <w:r>
        <w:rPr>
          <w:rFonts w:ascii="Arial" w:hAnsi="Arial" w:eastAsia="Arial" w:cs="Arial"/>
          <w:color w:val="000000" w:themeColor="text1"/>
          <w:highlight w:val="white"/>
        </w:rPr>
      </w:r>
    </w:p>
    <w:p>
      <w:pPr>
        <w:pBdr/>
        <w:spacing/>
        <w:ind/>
        <w:jc w:val="both"/>
        <w:rPr>
          <w:rFonts w:ascii="Arial" w:hAnsi="Arial" w:eastAsia="Arial" w:cs="Arial"/>
          <w:b/>
          <w:bCs/>
          <w:color w:val="000000" w:themeColor="text1"/>
          <w:highlight w:val="white"/>
        </w:rPr>
      </w:pP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El software objeto de la licitación debe estar instalado on </w:t>
      </w: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premise.</w:t>
      </w: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 El</w:t>
      </w: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 equipamiento descripto en el apartado 2.Infraestructura , del Anexo I Especificaciones técnicas particulares, deberá instalarse en el data center de la Municipalidad o donde la Municipalidad disponga y no podrán ser reemplazados por servidores en la nube.</w:t>
      </w:r>
      <w:r>
        <w:rPr>
          <w:rFonts w:ascii="Arial" w:hAnsi="Arial" w:eastAsia="Arial" w:cs="Arial"/>
          <w:b/>
          <w:bCs/>
          <w:color w:val="000000" w:themeColor="text1"/>
          <w:highlight w:val="white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eastAsia="Arial" w:cs="Arial"/>
          <w:color w:val="000000" w:themeColor="text1"/>
          <w:highlight w:val="white"/>
        </w:rPr>
        <w:t xml:space="preserve">1.5. ¿Cuando un usuario estaciona en el sistema lo hace mediante el dominio del vehículo o el número de dársena?</w:t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color w:val="000000" w:themeColor="text1"/>
          <w:highlight w:val="white"/>
        </w:rPr>
      </w:pP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El registro de ocupación y pago de la dársena se efectúa ingresando el número de identificación de la misma. No se requieren datos dominiales del vehículo, salvo para los casos de beneficiarios de franquicias especiales.</w:t>
      </w:r>
      <w:r>
        <w:rPr>
          <w:rFonts w:ascii="Arial" w:hAnsi="Arial" w:cs="Arial"/>
          <w:b/>
          <w:bCs/>
          <w:color w:val="000000" w:themeColor="text1"/>
          <w:highlight w:val="white"/>
        </w:rPr>
      </w:r>
    </w:p>
    <w:p>
      <w:pPr>
        <w:pStyle w:val="728"/>
        <w:pBdr/>
        <w:spacing/>
        <w:ind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color w:val="000000" w:themeColor="text1"/>
          <w:highlight w:val="white"/>
        </w:rPr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Bdr/>
        <w:spacing/>
        <w:ind/>
        <w:rPr>
          <w:rFonts w:ascii="Arial" w:hAnsi="Arial" w:eastAsia="Arial" w:cs="Arial"/>
          <w:b/>
          <w:bCs/>
          <w:highlight w:val="white"/>
        </w:rPr>
      </w:pPr>
      <w:r>
        <w:rPr>
          <w:rFonts w:ascii="Arial" w:hAnsi="Arial" w:eastAsia="Arial" w:cs="Arial"/>
          <w:b/>
          <w:bCs/>
          <w:highlight w:val="white"/>
        </w:rPr>
        <w:t xml:space="preserve">Consultas Nº 2:</w:t>
      </w:r>
      <w:r>
        <w:rPr>
          <w:rFonts w:ascii="Arial" w:hAnsi="Arial" w:eastAsia="Arial" w:cs="Arial"/>
          <w:b/>
          <w:bCs/>
          <w:highlight w:val="white"/>
        </w:rPr>
      </w:r>
    </w:p>
    <w:p>
      <w:pPr>
        <w:pBdr/>
        <w:spacing/>
        <w:ind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Se brinda información sobre la ocupación en horas de los últimos 12 meses, segmentada por mes, junto con la cantidad de boxes disponibles:</w:t>
      </w:r>
      <w:r>
        <w:rPr>
          <w:rFonts w:ascii="Arial" w:hAnsi="Arial" w:cs="Arial"/>
          <w:color w:val="000000" w:themeColor="text1"/>
          <w:highlight w:val="white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Mes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Registros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Estadía promedio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Boxes disponibles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jul-24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170.978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01:33:27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ago-24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188.484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01:38:47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sept-24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178.742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01:39:12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oct-24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186.575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01:38:45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nov-24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170.106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01:39:09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dic-24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174.997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01:38:40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ene-25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158.594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01:34:48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feb-25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164.775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01:40:12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mar-25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169.816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01:43:54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abr-25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175.044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01:46:41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may-25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187.431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01:43:54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rPr/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jun-25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182.453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01:50:57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highlight w:val="white"/>
              </w:rPr>
              <w:t xml:space="preserve">4.300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highlight w:val="white"/>
              </w:rPr>
            </w:r>
          </w:p>
        </w:tc>
      </w:tr>
    </w:tbl>
    <w:p>
      <w:pPr>
        <w:pBdr/>
        <w:spacing/>
        <w:ind/>
        <w:rPr>
          <w:rFonts w:ascii="Arial" w:hAnsi="Arial" w:eastAsia="Arial" w:cs="Arial"/>
          <w:b/>
          <w:bCs/>
          <w:highlight w:val="white"/>
        </w:rPr>
      </w:pPr>
      <w:r>
        <w:rPr>
          <w:rFonts w:ascii="Arial" w:hAnsi="Arial" w:eastAsia="Arial" w:cs="Arial"/>
          <w:b/>
          <w:bCs/>
          <w:highlight w:val="white"/>
        </w:rPr>
      </w:r>
      <w:r>
        <w:rPr>
          <w:rFonts w:ascii="Arial" w:hAnsi="Arial" w:eastAsia="Arial" w:cs="Arial"/>
          <w:b/>
          <w:bCs/>
          <w:highlight w:val="white"/>
        </w:rPr>
      </w:r>
    </w:p>
    <w:p>
      <w:pPr>
        <w:pBdr/>
        <w:spacing/>
        <w:ind/>
        <w:rPr>
          <w:rFonts w:ascii="Arial" w:hAnsi="Arial" w:eastAsia="Arial" w:cs="Arial"/>
          <w:b/>
          <w:bCs/>
          <w:highlight w:val="white"/>
        </w:rPr>
      </w:pPr>
      <w:r>
        <w:rPr>
          <w:rFonts w:ascii="Arial" w:hAnsi="Arial" w:eastAsia="Arial" w:cs="Arial"/>
          <w:b/>
          <w:bCs/>
          <w:highlight w:val="white"/>
        </w:rPr>
        <w:t xml:space="preserve">Consultas Nº 3:</w:t>
      </w:r>
      <w:r>
        <w:rPr>
          <w:rFonts w:ascii="Arial" w:hAnsi="Arial" w:eastAsia="Arial" w:cs="Arial"/>
          <w:b/>
          <w:bCs/>
          <w:highlight w:val="white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eastAsia="Arial" w:cs="Arial"/>
          <w:color w:val="000000" w:themeColor="text1"/>
          <w:highlight w:val="white"/>
        </w:rPr>
        <w:t xml:space="preserve">3.1. ¿La aplicación móvil exigida debe ser nativa? ¿Es admisible una aplicación web?</w:t>
      </w:r>
      <w:r>
        <w:rPr>
          <w:rFonts w:ascii="Arial" w:hAnsi="Arial" w:cs="Arial"/>
          <w:color w:val="000000" w:themeColor="text1"/>
          <w:highlight w:val="white"/>
        </w:rPr>
      </w:r>
    </w:p>
    <w:p>
      <w:pPr>
        <w:pBdr/>
        <w:spacing/>
        <w:ind/>
        <w:jc w:val="both"/>
        <w:rPr>
          <w:rFonts w:ascii="Arial" w:hAnsi="Arial" w:eastAsia="Arial" w:cs="Arial"/>
          <w:b/>
          <w:bCs/>
          <w:color w:val="000000" w:themeColor="text1"/>
          <w:highlight w:val="white"/>
        </w:rPr>
      </w:pP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La aplicación puede ser nativa pura o híb</w:t>
      </w: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rida, y debe cumplir con dos condiciones excluyentes: 1) que pueda ser instalada desde las tiendas oficiales y 2) que las funciones para el ciudadano puedan integrarse con la aplicación móvil municipal existente, desarrollada con Capacitor (capacitorjs.com</w:t>
      </w:r>
      <w:r>
        <w:rPr>
          <w:rFonts w:ascii="Arial" w:hAnsi="Arial" w:eastAsia="Arial" w:cs="Arial"/>
          <w:b/>
          <w:bCs/>
          <w:color w:val="000000" w:themeColor="text1"/>
          <w:highlight w:val="white"/>
        </w:rPr>
        <w:t xml:space="preserve">)</w:t>
      </w:r>
      <w:r>
        <w:rPr>
          <w:rFonts w:ascii="Arial" w:hAnsi="Arial" w:eastAsia="Arial" w:cs="Arial"/>
          <w:b/>
          <w:bCs/>
          <w:color w:val="000000" w:themeColor="text1"/>
          <w:highlight w:val="white"/>
        </w:rPr>
      </w:r>
    </w:p>
    <w:sectPr>
      <w:footnotePr/>
      <w:endnotePr/>
      <w:type w:val="nextPage"/>
      <w:pgSz w:h="15840" w:orient="portrait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09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907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906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910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05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08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s-A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6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6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6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6"/>
    <w:link w:val="7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6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6"/>
    <w:link w:val="7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6"/>
    <w:link w:val="7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6"/>
    <w:link w:val="8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6"/>
    <w:link w:val="89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6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6"/>
    <w:link w:val="9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36"/>
    <w:link w:val="883"/>
    <w:uiPriority w:val="99"/>
    <w:pPr>
      <w:pBdr/>
      <w:spacing/>
      <w:ind/>
    </w:pPr>
  </w:style>
  <w:style w:type="character" w:styleId="178">
    <w:name w:val="Footer Char"/>
    <w:basedOn w:val="736"/>
    <w:link w:val="885"/>
    <w:uiPriority w:val="99"/>
    <w:pPr>
      <w:pBdr/>
      <w:spacing/>
      <w:ind/>
    </w:pPr>
  </w:style>
  <w:style w:type="character" w:styleId="181">
    <w:name w:val="Footnote Text Char"/>
    <w:basedOn w:val="736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6"/>
    <w:link w:val="867"/>
    <w:uiPriority w:val="99"/>
    <w:semiHidden/>
    <w:pPr>
      <w:pBdr/>
      <w:spacing/>
      <w:ind/>
    </w:pPr>
    <w:rPr>
      <w:sz w:val="20"/>
      <w:szCs w:val="20"/>
    </w:rPr>
  </w:style>
  <w:style w:type="paragraph" w:styleId="726" w:default="1">
    <w:name w:val="Normal"/>
    <w:qFormat/>
    <w:pPr>
      <w:pBdr/>
      <w:spacing/>
      <w:ind/>
    </w:pPr>
  </w:style>
  <w:style w:type="paragraph" w:styleId="727">
    <w:name w:val="Heading 1"/>
    <w:basedOn w:val="726"/>
    <w:next w:val="726"/>
    <w:link w:val="888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28">
    <w:name w:val="Heading 2"/>
    <w:basedOn w:val="726"/>
    <w:next w:val="726"/>
    <w:link w:val="889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29">
    <w:name w:val="Heading 3"/>
    <w:basedOn w:val="726"/>
    <w:next w:val="726"/>
    <w:link w:val="890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30">
    <w:name w:val="Heading 4"/>
    <w:basedOn w:val="726"/>
    <w:next w:val="726"/>
    <w:link w:val="918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31">
    <w:name w:val="Heading 5"/>
    <w:basedOn w:val="726"/>
    <w:next w:val="726"/>
    <w:link w:val="919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32">
    <w:name w:val="Heading 6"/>
    <w:basedOn w:val="726"/>
    <w:next w:val="726"/>
    <w:link w:val="920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33">
    <w:name w:val="Heading 7"/>
    <w:basedOn w:val="726"/>
    <w:next w:val="726"/>
    <w:link w:val="921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34">
    <w:name w:val="Heading 8"/>
    <w:basedOn w:val="726"/>
    <w:next w:val="726"/>
    <w:link w:val="922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735">
    <w:name w:val="Heading 9"/>
    <w:basedOn w:val="726"/>
    <w:next w:val="726"/>
    <w:link w:val="923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table" w:styleId="739" w:customStyle="1">
    <w:name w:val="Table Grid Light"/>
    <w:basedOn w:val="7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basedOn w:val="73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73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es-A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4">
    <w:name w:val="footnote text"/>
    <w:basedOn w:val="726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 w:customStyle="1">
    <w:name w:val="Fotnotstext Char"/>
    <w:basedOn w:val="736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foot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72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 w:customStyle="1">
    <w:name w:val="Slutnotstext Char"/>
    <w:basedOn w:val="736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73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71">
    <w:name w:val="FollowedHyperlink"/>
    <w:basedOn w:val="73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2">
    <w:name w:val="toc 1"/>
    <w:basedOn w:val="726"/>
    <w:next w:val="726"/>
    <w:uiPriority w:val="39"/>
    <w:unhideWhenUsed/>
    <w:pPr>
      <w:pBdr/>
      <w:spacing w:after="100"/>
      <w:ind/>
    </w:pPr>
  </w:style>
  <w:style w:type="paragraph" w:styleId="873">
    <w:name w:val="toc 2"/>
    <w:basedOn w:val="726"/>
    <w:next w:val="726"/>
    <w:uiPriority w:val="39"/>
    <w:unhideWhenUsed/>
    <w:pPr>
      <w:pBdr/>
      <w:spacing w:after="100"/>
      <w:ind w:left="220"/>
    </w:pPr>
  </w:style>
  <w:style w:type="paragraph" w:styleId="874">
    <w:name w:val="toc 3"/>
    <w:basedOn w:val="726"/>
    <w:next w:val="726"/>
    <w:uiPriority w:val="39"/>
    <w:unhideWhenUsed/>
    <w:pPr>
      <w:pBdr/>
      <w:spacing w:after="100"/>
      <w:ind w:left="440"/>
    </w:pPr>
  </w:style>
  <w:style w:type="paragraph" w:styleId="875">
    <w:name w:val="toc 4"/>
    <w:basedOn w:val="726"/>
    <w:next w:val="726"/>
    <w:uiPriority w:val="39"/>
    <w:unhideWhenUsed/>
    <w:pPr>
      <w:pBdr/>
      <w:spacing w:after="100"/>
      <w:ind w:left="660"/>
    </w:pPr>
  </w:style>
  <w:style w:type="paragraph" w:styleId="876">
    <w:name w:val="toc 5"/>
    <w:basedOn w:val="726"/>
    <w:next w:val="726"/>
    <w:uiPriority w:val="39"/>
    <w:unhideWhenUsed/>
    <w:pPr>
      <w:pBdr/>
      <w:spacing w:after="100"/>
      <w:ind w:left="880"/>
    </w:pPr>
  </w:style>
  <w:style w:type="paragraph" w:styleId="877">
    <w:name w:val="toc 6"/>
    <w:basedOn w:val="726"/>
    <w:next w:val="726"/>
    <w:uiPriority w:val="39"/>
    <w:unhideWhenUsed/>
    <w:pPr>
      <w:pBdr/>
      <w:spacing w:after="100"/>
      <w:ind w:left="1100"/>
    </w:pPr>
  </w:style>
  <w:style w:type="paragraph" w:styleId="878">
    <w:name w:val="toc 7"/>
    <w:basedOn w:val="726"/>
    <w:next w:val="726"/>
    <w:uiPriority w:val="39"/>
    <w:unhideWhenUsed/>
    <w:pPr>
      <w:pBdr/>
      <w:spacing w:after="100"/>
      <w:ind w:left="1320"/>
    </w:pPr>
  </w:style>
  <w:style w:type="paragraph" w:styleId="879">
    <w:name w:val="toc 8"/>
    <w:basedOn w:val="726"/>
    <w:next w:val="726"/>
    <w:uiPriority w:val="39"/>
    <w:unhideWhenUsed/>
    <w:pPr>
      <w:pBdr/>
      <w:spacing w:after="100"/>
      <w:ind w:left="1540"/>
    </w:pPr>
  </w:style>
  <w:style w:type="paragraph" w:styleId="880">
    <w:name w:val="toc 9"/>
    <w:basedOn w:val="726"/>
    <w:next w:val="726"/>
    <w:uiPriority w:val="39"/>
    <w:unhideWhenUsed/>
    <w:pPr>
      <w:pBdr/>
      <w:spacing w:after="100"/>
      <w:ind w:left="1760"/>
    </w:pPr>
  </w:style>
  <w:style w:type="character" w:styleId="881">
    <w:name w:val="Placeholder Text"/>
    <w:basedOn w:val="736"/>
    <w:uiPriority w:val="99"/>
    <w:semiHidden/>
    <w:pPr>
      <w:pBdr/>
      <w:spacing/>
      <w:ind/>
    </w:pPr>
    <w:rPr>
      <w:color w:val="666666"/>
    </w:rPr>
  </w:style>
  <w:style w:type="paragraph" w:styleId="882">
    <w:name w:val="table of figures"/>
    <w:basedOn w:val="726"/>
    <w:next w:val="726"/>
    <w:uiPriority w:val="99"/>
    <w:unhideWhenUsed/>
    <w:pPr>
      <w:pBdr/>
      <w:spacing w:after="0"/>
      <w:ind/>
    </w:pPr>
  </w:style>
  <w:style w:type="paragraph" w:styleId="883">
    <w:name w:val="Header"/>
    <w:basedOn w:val="726"/>
    <w:link w:val="884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84" w:customStyle="1">
    <w:name w:val="Sidhuvud Char"/>
    <w:basedOn w:val="736"/>
    <w:link w:val="883"/>
    <w:uiPriority w:val="99"/>
    <w:pPr>
      <w:pBdr/>
      <w:spacing/>
      <w:ind/>
    </w:pPr>
  </w:style>
  <w:style w:type="paragraph" w:styleId="885">
    <w:name w:val="Footer"/>
    <w:basedOn w:val="726"/>
    <w:link w:val="886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86" w:customStyle="1">
    <w:name w:val="Sidfot Char"/>
    <w:basedOn w:val="736"/>
    <w:link w:val="885"/>
    <w:uiPriority w:val="99"/>
    <w:pPr>
      <w:pBdr/>
      <w:spacing/>
      <w:ind/>
    </w:pPr>
  </w:style>
  <w:style w:type="paragraph" w:styleId="887">
    <w:name w:val="No Spacing"/>
    <w:uiPriority w:val="1"/>
    <w:qFormat/>
    <w:pPr>
      <w:pBdr/>
      <w:spacing w:after="0" w:line="240" w:lineRule="auto"/>
      <w:ind/>
    </w:pPr>
  </w:style>
  <w:style w:type="character" w:styleId="888" w:customStyle="1">
    <w:name w:val="Rubrik 1 Char"/>
    <w:basedOn w:val="736"/>
    <w:link w:val="7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89" w:customStyle="1">
    <w:name w:val="Rubrik 2 Char"/>
    <w:basedOn w:val="736"/>
    <w:link w:val="7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90" w:customStyle="1">
    <w:name w:val="Rubrik 3 Char"/>
    <w:basedOn w:val="736"/>
    <w:link w:val="729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91">
    <w:name w:val="Title"/>
    <w:basedOn w:val="726"/>
    <w:next w:val="726"/>
    <w:link w:val="892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92" w:customStyle="1">
    <w:name w:val="Rubrik Char"/>
    <w:basedOn w:val="736"/>
    <w:link w:val="891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93">
    <w:name w:val="Subtitle"/>
    <w:basedOn w:val="726"/>
    <w:next w:val="726"/>
    <w:link w:val="894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94" w:customStyle="1">
    <w:name w:val="Underrubrik Char"/>
    <w:basedOn w:val="736"/>
    <w:link w:val="893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95">
    <w:name w:val="List Paragraph"/>
    <w:basedOn w:val="726"/>
    <w:uiPriority w:val="34"/>
    <w:qFormat/>
    <w:pPr>
      <w:pBdr/>
      <w:spacing/>
      <w:ind w:left="720"/>
      <w:contextualSpacing w:val="true"/>
    </w:pPr>
  </w:style>
  <w:style w:type="paragraph" w:styleId="896">
    <w:name w:val="Body Text"/>
    <w:basedOn w:val="726"/>
    <w:link w:val="897"/>
    <w:uiPriority w:val="99"/>
    <w:unhideWhenUsed/>
    <w:pPr>
      <w:pBdr/>
      <w:spacing w:after="120"/>
      <w:ind/>
    </w:pPr>
  </w:style>
  <w:style w:type="character" w:styleId="897" w:customStyle="1">
    <w:name w:val="Brödtext Char"/>
    <w:basedOn w:val="736"/>
    <w:link w:val="896"/>
    <w:uiPriority w:val="99"/>
    <w:pPr>
      <w:pBdr/>
      <w:spacing/>
      <w:ind/>
    </w:pPr>
  </w:style>
  <w:style w:type="paragraph" w:styleId="898">
    <w:name w:val="Body Text 2"/>
    <w:basedOn w:val="726"/>
    <w:link w:val="899"/>
    <w:uiPriority w:val="99"/>
    <w:unhideWhenUsed/>
    <w:pPr>
      <w:pBdr/>
      <w:spacing w:after="120" w:line="480" w:lineRule="auto"/>
      <w:ind/>
    </w:pPr>
  </w:style>
  <w:style w:type="character" w:styleId="899" w:customStyle="1">
    <w:name w:val="Brödtext 2 Char"/>
    <w:basedOn w:val="736"/>
    <w:link w:val="898"/>
    <w:uiPriority w:val="99"/>
    <w:pPr>
      <w:pBdr/>
      <w:spacing/>
      <w:ind/>
    </w:pPr>
  </w:style>
  <w:style w:type="paragraph" w:styleId="900">
    <w:name w:val="Body Text 3"/>
    <w:basedOn w:val="726"/>
    <w:link w:val="901"/>
    <w:uiPriority w:val="99"/>
    <w:unhideWhenUsed/>
    <w:pPr>
      <w:pBdr/>
      <w:spacing w:after="120"/>
      <w:ind/>
    </w:pPr>
    <w:rPr>
      <w:sz w:val="16"/>
      <w:szCs w:val="16"/>
    </w:rPr>
  </w:style>
  <w:style w:type="character" w:styleId="901" w:customStyle="1">
    <w:name w:val="Brödtext 3 Char"/>
    <w:basedOn w:val="736"/>
    <w:link w:val="900"/>
    <w:uiPriority w:val="99"/>
    <w:pPr>
      <w:pBdr/>
      <w:spacing/>
      <w:ind/>
    </w:pPr>
    <w:rPr>
      <w:sz w:val="16"/>
      <w:szCs w:val="16"/>
    </w:rPr>
  </w:style>
  <w:style w:type="paragraph" w:styleId="902">
    <w:name w:val="List"/>
    <w:basedOn w:val="726"/>
    <w:uiPriority w:val="99"/>
    <w:unhideWhenUsed/>
    <w:pPr>
      <w:pBdr/>
      <w:spacing/>
      <w:ind w:hanging="360" w:left="360"/>
      <w:contextualSpacing w:val="true"/>
    </w:pPr>
  </w:style>
  <w:style w:type="paragraph" w:styleId="903">
    <w:name w:val="List 2"/>
    <w:basedOn w:val="726"/>
    <w:uiPriority w:val="99"/>
    <w:unhideWhenUsed/>
    <w:pPr>
      <w:pBdr/>
      <w:spacing/>
      <w:ind w:hanging="360" w:left="720"/>
      <w:contextualSpacing w:val="true"/>
    </w:pPr>
  </w:style>
  <w:style w:type="paragraph" w:styleId="904">
    <w:name w:val="List 3"/>
    <w:basedOn w:val="726"/>
    <w:uiPriority w:val="99"/>
    <w:unhideWhenUsed/>
    <w:pPr>
      <w:pBdr/>
      <w:spacing/>
      <w:ind w:hanging="360" w:left="1080"/>
      <w:contextualSpacing w:val="true"/>
    </w:pPr>
  </w:style>
  <w:style w:type="paragraph" w:styleId="905">
    <w:name w:val="List Bullet"/>
    <w:basedOn w:val="726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906">
    <w:name w:val="List Bullet 2"/>
    <w:basedOn w:val="726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907">
    <w:name w:val="List Bullet 3"/>
    <w:basedOn w:val="726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908">
    <w:name w:val="List Number"/>
    <w:basedOn w:val="726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909">
    <w:name w:val="List Number 2"/>
    <w:basedOn w:val="726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910">
    <w:name w:val="List Number 3"/>
    <w:basedOn w:val="726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911">
    <w:name w:val="List Continue"/>
    <w:basedOn w:val="726"/>
    <w:uiPriority w:val="99"/>
    <w:unhideWhenUsed/>
    <w:pPr>
      <w:pBdr/>
      <w:spacing w:after="120"/>
      <w:ind w:left="360"/>
      <w:contextualSpacing w:val="true"/>
    </w:pPr>
  </w:style>
  <w:style w:type="paragraph" w:styleId="912">
    <w:name w:val="List Continue 2"/>
    <w:basedOn w:val="726"/>
    <w:uiPriority w:val="99"/>
    <w:unhideWhenUsed/>
    <w:pPr>
      <w:pBdr/>
      <w:spacing w:after="120"/>
      <w:ind w:left="720"/>
      <w:contextualSpacing w:val="true"/>
    </w:pPr>
  </w:style>
  <w:style w:type="paragraph" w:styleId="913">
    <w:name w:val="List Continue 3"/>
    <w:basedOn w:val="726"/>
    <w:uiPriority w:val="99"/>
    <w:unhideWhenUsed/>
    <w:pPr>
      <w:pBdr/>
      <w:spacing w:after="120"/>
      <w:ind w:left="1080"/>
      <w:contextualSpacing w:val="true"/>
    </w:pPr>
  </w:style>
  <w:style w:type="paragraph" w:styleId="914">
    <w:name w:val="macro"/>
    <w:link w:val="915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915" w:customStyle="1">
    <w:name w:val="Makrotext Char"/>
    <w:basedOn w:val="736"/>
    <w:link w:val="914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916">
    <w:name w:val="Quote"/>
    <w:basedOn w:val="726"/>
    <w:next w:val="726"/>
    <w:link w:val="917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917" w:customStyle="1">
    <w:name w:val="Citat Char"/>
    <w:basedOn w:val="736"/>
    <w:link w:val="916"/>
    <w:uiPriority w:val="29"/>
    <w:pPr>
      <w:pBdr/>
      <w:spacing/>
      <w:ind/>
    </w:pPr>
    <w:rPr>
      <w:i/>
      <w:iCs/>
      <w:color w:val="000000" w:themeColor="text1"/>
    </w:rPr>
  </w:style>
  <w:style w:type="character" w:styleId="918" w:customStyle="1">
    <w:name w:val="Rubrik 4 Char"/>
    <w:basedOn w:val="736"/>
    <w:link w:val="730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19" w:customStyle="1">
    <w:name w:val="Rubrik 5 Char"/>
    <w:basedOn w:val="736"/>
    <w:link w:val="73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20" w:customStyle="1">
    <w:name w:val="Rubrik 6 Char"/>
    <w:basedOn w:val="736"/>
    <w:link w:val="7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21" w:customStyle="1">
    <w:name w:val="Rubrik 7 Char"/>
    <w:basedOn w:val="736"/>
    <w:link w:val="73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22" w:customStyle="1">
    <w:name w:val="Rubrik 8 Char"/>
    <w:basedOn w:val="736"/>
    <w:link w:val="73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23" w:customStyle="1">
    <w:name w:val="Rubrik 9 Char"/>
    <w:basedOn w:val="736"/>
    <w:link w:val="73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24">
    <w:name w:val="Caption"/>
    <w:basedOn w:val="726"/>
    <w:next w:val="726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925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926">
    <w:name w:val="Emphasis"/>
    <w:basedOn w:val="736"/>
    <w:uiPriority w:val="20"/>
    <w:qFormat/>
    <w:pPr>
      <w:pBdr/>
      <w:spacing/>
      <w:ind/>
    </w:pPr>
    <w:rPr>
      <w:i/>
      <w:iCs/>
    </w:rPr>
  </w:style>
  <w:style w:type="paragraph" w:styleId="927">
    <w:name w:val="Intense Quote"/>
    <w:basedOn w:val="726"/>
    <w:next w:val="726"/>
    <w:link w:val="928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928" w:customStyle="1">
    <w:name w:val="Starkt citat Char"/>
    <w:basedOn w:val="736"/>
    <w:link w:val="927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929">
    <w:name w:val="Subtle Emphasis"/>
    <w:basedOn w:val="736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930">
    <w:name w:val="Intense Emphasis"/>
    <w:basedOn w:val="736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931">
    <w:name w:val="Subtle Reference"/>
    <w:basedOn w:val="736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932">
    <w:name w:val="Intense Reference"/>
    <w:basedOn w:val="736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933">
    <w:name w:val="Book Title"/>
    <w:basedOn w:val="736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934">
    <w:name w:val="TOC Heading"/>
    <w:basedOn w:val="727"/>
    <w:next w:val="726"/>
    <w:uiPriority w:val="39"/>
    <w:semiHidden/>
    <w:unhideWhenUsed/>
    <w:qFormat/>
    <w:pPr>
      <w:pBdr/>
      <w:spacing/>
      <w:ind/>
      <w:outlineLvl w:val="9"/>
    </w:pPr>
  </w:style>
  <w:style w:type="table" w:styleId="935">
    <w:name w:val="Table Grid"/>
    <w:basedOn w:val="73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ght Shading"/>
    <w:basedOn w:val="737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ght Shading Accent 1"/>
    <w:basedOn w:val="737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ght Shading Accent 2"/>
    <w:basedOn w:val="737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ght Shading Accent 3"/>
    <w:basedOn w:val="737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ght Shading Accent 4"/>
    <w:basedOn w:val="737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ght Shading Accent 5"/>
    <w:basedOn w:val="737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ght Shading Accent 6"/>
    <w:basedOn w:val="737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ght List"/>
    <w:basedOn w:val="7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ght List Accent 1"/>
    <w:basedOn w:val="7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ght List Accent 2"/>
    <w:basedOn w:val="7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ght List Accent 3"/>
    <w:basedOn w:val="7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ght List Accent 4"/>
    <w:basedOn w:val="7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ght List Accent 5"/>
    <w:basedOn w:val="7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ght List Accent 6"/>
    <w:basedOn w:val="737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ght Grid"/>
    <w:basedOn w:val="7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ght Grid Accent 1"/>
    <w:basedOn w:val="7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ght Grid Accent 2"/>
    <w:basedOn w:val="7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ght Grid Accent 3"/>
    <w:basedOn w:val="7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ght Grid Accent 4"/>
    <w:basedOn w:val="7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ght Grid Accent 5"/>
    <w:basedOn w:val="7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ght Grid Accent 6"/>
    <w:basedOn w:val="737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Medium Shading 1"/>
    <w:basedOn w:val="7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Medium Shading 1 Accent 1"/>
    <w:basedOn w:val="7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Medium Shading 1 Accent 2"/>
    <w:basedOn w:val="7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Medium Shading 1 Accent 3"/>
    <w:basedOn w:val="7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Medium Shading 1 Accent 4"/>
    <w:basedOn w:val="7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Medium Shading 1 Accent 5"/>
    <w:basedOn w:val="7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Medium Shading 1 Accent 6"/>
    <w:basedOn w:val="737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Medium Shading 2"/>
    <w:basedOn w:val="7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Medium Shading 2 Accent 1"/>
    <w:basedOn w:val="7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Medium Shading 2 Accent 2"/>
    <w:basedOn w:val="7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Medium Shading 2 Accent 3"/>
    <w:basedOn w:val="7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Medium Shading 2 Accent 4"/>
    <w:basedOn w:val="7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Medium Shading 2 Accent 5"/>
    <w:basedOn w:val="7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Medium Shading 2 Accent 6"/>
    <w:basedOn w:val="737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Medium List 1"/>
    <w:basedOn w:val="7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Medium List 1 Accent 1"/>
    <w:basedOn w:val="7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Medium List 1 Accent 2"/>
    <w:basedOn w:val="7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Medium List 1 Accent 3"/>
    <w:basedOn w:val="7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Medium List 1 Accent 4"/>
    <w:basedOn w:val="7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Medium List 1 Accent 5"/>
    <w:basedOn w:val="7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Medium List 1 Accent 6"/>
    <w:basedOn w:val="73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Medium List 2"/>
    <w:basedOn w:val="7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Medium List 2 Accent 1"/>
    <w:basedOn w:val="7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Medium List 2 Accent 2"/>
    <w:basedOn w:val="7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Medium List 2 Accent 3"/>
    <w:basedOn w:val="7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Medium List 2 Accent 4"/>
    <w:basedOn w:val="7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Medium List 2 Accent 5"/>
    <w:basedOn w:val="7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Medium List 2 Accent 6"/>
    <w:basedOn w:val="73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Medium Grid 1"/>
    <w:basedOn w:val="7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Medium Grid 1 Accent 1"/>
    <w:basedOn w:val="7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Medium Grid 1 Accent 2"/>
    <w:basedOn w:val="7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Medium Grid 1 Accent 3"/>
    <w:basedOn w:val="7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Medium Grid 1 Accent 4"/>
    <w:basedOn w:val="7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Medium Grid 1 Accent 5"/>
    <w:basedOn w:val="7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Medium Grid 1 Accent 6"/>
    <w:basedOn w:val="737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Medium Grid 2"/>
    <w:basedOn w:val="7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Medium Grid 2 Accent 1"/>
    <w:basedOn w:val="7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Medium Grid 2 Accent 2"/>
    <w:basedOn w:val="7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Medium Grid 2 Accent 3"/>
    <w:basedOn w:val="7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Medium Grid 2 Accent 4"/>
    <w:basedOn w:val="7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Medium Grid 2 Accent 5"/>
    <w:basedOn w:val="7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Medium Grid 2 Accent 6"/>
    <w:basedOn w:val="73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Medium Grid 3"/>
    <w:basedOn w:val="7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Medium Grid 3 Accent 1"/>
    <w:basedOn w:val="7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Medium Grid 3 Accent 2"/>
    <w:basedOn w:val="7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Medium Grid 3 Accent 3"/>
    <w:basedOn w:val="7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Medium Grid 3 Accent 4"/>
    <w:basedOn w:val="7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Medium Grid 3 Accent 5"/>
    <w:basedOn w:val="7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Medium Grid 3 Accent 6"/>
    <w:basedOn w:val="737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Dark List"/>
    <w:basedOn w:val="7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Dark List Accent 1"/>
    <w:basedOn w:val="7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Dark List Accent 2"/>
    <w:basedOn w:val="7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Dark List Accent 3"/>
    <w:basedOn w:val="7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Dark List Accent 4"/>
    <w:basedOn w:val="7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Dark List Accent 5"/>
    <w:basedOn w:val="7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Dark List Accent 6"/>
    <w:basedOn w:val="73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Colorful Shading"/>
    <w:basedOn w:val="7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Colorful Shading Accent 1"/>
    <w:basedOn w:val="7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Colorful Shading Accent 2"/>
    <w:basedOn w:val="7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Colorful Shading Accent 3"/>
    <w:basedOn w:val="7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Colorful Shading Accent 4"/>
    <w:basedOn w:val="7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Colorful Shading Accent 5"/>
    <w:basedOn w:val="7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Colorful Shading Accent 6"/>
    <w:basedOn w:val="73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Colorful List"/>
    <w:basedOn w:val="7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Colorful List Accent 1"/>
    <w:basedOn w:val="7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Colorful List Accent 2"/>
    <w:basedOn w:val="7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Colorful List Accent 3"/>
    <w:basedOn w:val="7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Colorful List Accent 4"/>
    <w:basedOn w:val="7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Colorful List Accent 5"/>
    <w:basedOn w:val="7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Colorful List Accent 6"/>
    <w:basedOn w:val="73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Colorful Grid"/>
    <w:basedOn w:val="7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Colorful Grid Accent 1"/>
    <w:basedOn w:val="7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Colorful Grid Accent 2"/>
    <w:basedOn w:val="7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Colorful Grid Accent 3"/>
    <w:basedOn w:val="7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Colorful Grid Accent 4"/>
    <w:basedOn w:val="7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Colorful Grid Accent 5"/>
    <w:basedOn w:val="7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Colorful Grid Accent 6"/>
    <w:basedOn w:val="73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revision>3</cp:revision>
  <dcterms:created xsi:type="dcterms:W3CDTF">2025-07-17T13:41:00Z</dcterms:created>
  <dcterms:modified xsi:type="dcterms:W3CDTF">2025-07-18T15:40:16Z</dcterms:modified>
  <cp:category/>
</cp:coreProperties>
</file>